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EF" w:rsidRPr="006361EF" w:rsidRDefault="006361EF" w:rsidP="006361E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proofErr w:type="spellStart"/>
      <w:r w:rsidRPr="006361E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Cигнализатор</w:t>
      </w:r>
      <w:proofErr w:type="spellEnd"/>
      <w:r w:rsidRPr="006361E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 xml:space="preserve"> загазованности природным газом СЗ-1Аi служит для непрерывного автоматического контроля содержания углеводородного газа (природного – по ГОСТ 5542, или метана СН) в атмосфере помещений и оповещения световым и звуковым сигналами о появлении опасных концентраций газа. </w:t>
      </w:r>
    </w:p>
    <w:p w:rsidR="006361EF" w:rsidRPr="006361EF" w:rsidRDefault="006361EF" w:rsidP="006361E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6361EF"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>Сигнализатор предназначен для применения в жилых одно- и многоквартирных домах, дачах, коттеджах, во взрывобезопасных зонах других производственных, административных и коммунально-бытовых помещений, где газ используется для отопления и приготовления пищи.</w:t>
      </w:r>
    </w:p>
    <w:p w:rsidR="006361EF" w:rsidRPr="006361EF" w:rsidRDefault="006361EF" w:rsidP="006361E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6361E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Сигнализаторы могут применяться как в составе систем автоматического контроля загазованности типа САКЗ-МК®-1(2)-1Аi, так и самостоятельно.</w:t>
      </w:r>
      <w:r w:rsidRPr="006361E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Сигнализатор СЗ-1Аi способен управлять импульсным электромагнитным запорным клапаном типа КЗЭУГ-А и КЗЭУГ-Б, контролировать исправность электромагнита клапана и соединительного кабеля.</w:t>
      </w:r>
      <w:r w:rsidRPr="006361E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При отключении электропитания клапан останется открытым.</w:t>
      </w:r>
      <w:r w:rsidRPr="006361E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Сигнализатор способен автоматически определять наличие подключенных устройств (например, клапана или другого сигнализатора).</w:t>
      </w:r>
      <w:r w:rsidRPr="006361E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  <w:r w:rsidRPr="006361E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br/>
        <w:t>Тип сигнализаторов: стационарный, непрерывного действия, одноканальный, с диффузионной подачей контролируемой среды, с одним фиксированным порогом сигнализации.</w:t>
      </w:r>
    </w:p>
    <w:tbl>
      <w:tblPr>
        <w:tblW w:w="5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613"/>
      </w:tblGrid>
      <w:tr w:rsidR="006361EF" w:rsidRPr="006361EF" w:rsidTr="006361EF">
        <w:tc>
          <w:tcPr>
            <w:tcW w:w="25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параметра или характеристики</w:t>
            </w:r>
          </w:p>
        </w:tc>
        <w:tc>
          <w:tcPr>
            <w:tcW w:w="2145" w:type="dxa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значение для СЗ–1–1Аi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срабатывания (для поверочного компонента – метана), % НКПР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основной абсолютной погрешности, % НКПР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срабатывания сигнализации, с, не более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 (с адаптером питания, от сети переменного тока частотой (50±1) Гц), В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230±23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 (от внешнего источника постоянного тока), В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5,0±0,2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ВА, не более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Габаритные размеры (без адаптера питания), мм, не более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х 58 х 32</w:t>
            </w:r>
          </w:p>
        </w:tc>
      </w:tr>
      <w:tr w:rsidR="006361EF" w:rsidRPr="006361EF" w:rsidTr="006361EF">
        <w:tc>
          <w:tcPr>
            <w:tcW w:w="30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6361EF" w:rsidRPr="006361EF" w:rsidRDefault="006361EF" w:rsidP="006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72A9A" w:rsidRDefault="00772A9A">
      <w:bookmarkStart w:id="0" w:name="_GoBack"/>
      <w:bookmarkEnd w:id="0"/>
    </w:p>
    <w:sectPr w:rsidR="0077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4"/>
    <w:rsid w:val="006361EF"/>
    <w:rsid w:val="00736354"/>
    <w:rsid w:val="007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9F6F-B107-4A14-9504-DCA011FB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2022-09-01T14:19:00Z</dcterms:created>
  <dcterms:modified xsi:type="dcterms:W3CDTF">2022-09-01T14:19:00Z</dcterms:modified>
</cp:coreProperties>
</file>